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E6B43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9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1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9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9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" w:type="dxa"/>
          </w:tcPr>
          <w:p w:rsidR="00EE6B43" w:rsidRDefault="00EE6B4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00F1A" w:rsidRPr="002E3097" w:rsidTr="00FA24F3">
        <w:tc>
          <w:tcPr>
            <w:tcW w:w="1951" w:type="dxa"/>
          </w:tcPr>
          <w:p w:rsidR="00300F1A" w:rsidRPr="002E3097" w:rsidRDefault="00300F1A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00F1A" w:rsidRPr="002E3097" w:rsidRDefault="00300F1A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D3148C" w:rsidTr="00300F1A">
        <w:trPr>
          <w:trHeight w:val="75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9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EE6B4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E6B43" w:rsidRDefault="00EE6B43"/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5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300F1A">
        <w:trPr>
          <w:trHeight w:val="37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EE6B43" w:rsidRPr="00471AC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300F1A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424759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 w:rsidTr="00300F1A">
        <w:trPr>
          <w:trHeight w:val="4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37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E6B4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6B43" w:rsidRDefault="00300F1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6B43" w:rsidRDefault="00EE6B43"/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28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подготовка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0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E6B43" w:rsidRDefault="00EE6B43"/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9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471A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D3148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D3148C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D3148C">
                    <w:rPr>
                      <w:color w:val="000000"/>
                      <w:sz w:val="32"/>
                      <w:lang w:val="ru-RU"/>
                    </w:rPr>
                    <w:t>а.ч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02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00F1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18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E6B43">
        <w:trPr>
          <w:trHeight w:val="179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967705">
                  <w:pPr>
                    <w:jc w:val="both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3148C">
                    <w:rPr>
                      <w:i/>
                      <w:color w:val="000000"/>
                      <w:sz w:val="28"/>
                      <w:lang w:val="ru-RU"/>
                    </w:rPr>
                    <w:t>Общая физическая подготовка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28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E6B4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E6B43" w:rsidRDefault="00EE6B4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E6B43" w:rsidRPr="00471AC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6A7571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E6B43" w:rsidRPr="00D3148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44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E6B43" w:rsidRPr="00471A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211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E6B4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39306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E6B43" w:rsidRDefault="00EE6B43"/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393068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0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47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E6B43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E6B43" w:rsidRDefault="00EE6B43"/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физической культуре и спорте.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7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E6B43" w:rsidRPr="00471AC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E6B43" w:rsidRPr="00471AC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профессиональной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для достижения жизненных и профессиональных целей;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EE6B43" w:rsidRPr="00471AC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59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D3148C" w:rsidRPr="00471AC6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D3148C" w:rsidRPr="00471AC6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3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3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D3148C" w:rsidRPr="00471AC6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78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Pr="00D3148C" w:rsidRDefault="00D314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471AC6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471A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Выносливость и основы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471AC6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329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5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471AC6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471A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471AC6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644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E6B43" w:rsidRPr="00471A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lastRenderedPageBreak/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9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06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29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1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2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</w:t>
            </w:r>
            <w:r w:rsidRPr="00570D8F">
              <w:rPr>
                <w:sz w:val="28"/>
                <w:szCs w:val="28"/>
                <w:lang w:val="ru-RU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3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570D8F">
                <w:rPr>
                  <w:rStyle w:val="a6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967705" w:rsidRPr="00570D8F" w:rsidRDefault="00967705" w:rsidP="00967705">
            <w:pPr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471AC6" w:rsidRPr="004712A8" w:rsidRDefault="00967705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4</w:t>
            </w:r>
            <w:r w:rsidRPr="00570D8F">
              <w:rPr>
                <w:sz w:val="28"/>
                <w:szCs w:val="28"/>
                <w:lang w:val="ru-RU"/>
              </w:rPr>
              <w:tab/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Теоретические основы физической культуры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Горелов, О.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Румба, В.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Л.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Кондаков, Е.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Копейкина.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194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978-5-534-14341-6. — Текст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/567748</w:t>
              </w:r>
            </w:hyperlink>
            <w:r w:rsidR="00471AC6"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5</w:t>
            </w:r>
            <w:r w:rsidRPr="004712A8">
              <w:rPr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,Ю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изд.,стер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.Ф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471AC6" w:rsidRPr="004712A8" w:rsidRDefault="00471AC6" w:rsidP="00471AC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6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7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Никитушкин, В.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Г.</w:t>
            </w:r>
            <w:r w:rsidRPr="00876489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Оздоровительные технологии в системе физического воспитания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В.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Никитушкин, 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Чесноков, Е.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Чернышева.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279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978-5-534-17033-7. — Текст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/563115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570D8F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Аллянов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https://urait.ru/bcode/560410</w:t>
            </w:r>
          </w:p>
          <w:p w:rsidR="00024FD7" w:rsidRPr="00570D8F" w:rsidRDefault="00024FD7" w:rsidP="00024FD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E6B43" w:rsidRPr="00D3148C" w:rsidRDefault="00967705" w:rsidP="00967705">
            <w:pPr>
              <w:rPr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9</w:t>
            </w:r>
            <w:r w:rsidRPr="00570D8F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272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21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471A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Официальный сайт Сибирского университета потребительской кооперации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>(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EE6B43" w:rsidRPr="00471A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E6B43" w:rsidRPr="00471A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29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024FD7" w:rsidRDefault="0096770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8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471AC6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D3148C" w:rsidRPr="00471AC6" w:rsidTr="00D3148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E6B43" w:rsidRPr="00471AC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E6B43" w:rsidRPr="00471A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27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2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471AC6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471A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spacing w:before="200" w:after="200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</w:t>
                  </w:r>
                  <w:bookmarkStart w:id="0" w:name="_GoBack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аудитории для проведения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E6B43" w:rsidRPr="00D3148C" w:rsidRDefault="00EE6B4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</w:t>
                  </w:r>
                  <w:bookmarkEnd w:id="0"/>
                  <w:r w:rsidRPr="00D3148C">
                    <w:rPr>
                      <w:color w:val="000000"/>
                      <w:sz w:val="28"/>
                      <w:lang w:val="ru-RU"/>
                    </w:rPr>
                    <w:t>-образовательную среду университета.</w:t>
                  </w:r>
                  <w:proofErr w:type="gramEnd"/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471AC6">
        <w:trPr>
          <w:trHeight w:val="1268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</w:tbl>
    <w:p w:rsidR="00EE6B43" w:rsidRPr="00D3148C" w:rsidRDefault="00EE6B43">
      <w:pPr>
        <w:rPr>
          <w:lang w:val="ru-RU"/>
        </w:rPr>
      </w:pPr>
    </w:p>
    <w:sectPr w:rsidR="00EE6B43" w:rsidRPr="00D3148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7A" w:rsidRDefault="0082447A">
      <w:r>
        <w:separator/>
      </w:r>
    </w:p>
  </w:endnote>
  <w:endnote w:type="continuationSeparator" w:id="0">
    <w:p w:rsidR="0082447A" w:rsidRDefault="0082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7A" w:rsidRDefault="0082447A">
      <w:r>
        <w:separator/>
      </w:r>
    </w:p>
  </w:footnote>
  <w:footnote w:type="continuationSeparator" w:id="0">
    <w:p w:rsidR="0082447A" w:rsidRDefault="0082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8C"/>
    <w:rsid w:val="00024FD7"/>
    <w:rsid w:val="00062DFA"/>
    <w:rsid w:val="001B4410"/>
    <w:rsid w:val="00300F1A"/>
    <w:rsid w:val="00393068"/>
    <w:rsid w:val="00424759"/>
    <w:rsid w:val="00471AC6"/>
    <w:rsid w:val="0067442F"/>
    <w:rsid w:val="006A7571"/>
    <w:rsid w:val="0082447A"/>
    <w:rsid w:val="00967705"/>
    <w:rsid w:val="00D3148C"/>
    <w:rsid w:val="00D7647E"/>
    <w:rsid w:val="00E30464"/>
    <w:rsid w:val="00E76B28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31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1791</Words>
  <Characters>14292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5</cp:revision>
  <dcterms:created xsi:type="dcterms:W3CDTF">2025-06-03T04:43:00Z</dcterms:created>
  <dcterms:modified xsi:type="dcterms:W3CDTF">2025-07-21T05:30:00Z</dcterms:modified>
</cp:coreProperties>
</file>